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Look w:val="04A0" w:firstRow="1" w:lastRow="0" w:firstColumn="1" w:lastColumn="0" w:noHBand="0" w:noVBand="1"/>
      </w:tblPr>
      <w:tblGrid>
        <w:gridCol w:w="2405"/>
        <w:gridCol w:w="6657"/>
      </w:tblGrid>
      <w:tr w:rsidR="00ED77DB" w:rsidRPr="00D546B4" w14:paraId="05322BD5" w14:textId="77777777" w:rsidTr="00ED77DB">
        <w:tc>
          <w:tcPr>
            <w:tcW w:w="2405" w:type="dxa"/>
          </w:tcPr>
          <w:p w14:paraId="09297B00" w14:textId="77777777" w:rsidR="00692BE7" w:rsidRDefault="005636B3">
            <w:pPr>
              <w:spacing w:line="276" w:lineRule="auto"/>
              <w:rPr>
                <w:b/>
                <w:bCs/>
                <w:szCs w:val="22"/>
              </w:rPr>
            </w:pPr>
            <w:r w:rsidRPr="00D546B4">
              <w:rPr>
                <w:b/>
                <w:bCs/>
                <w:szCs w:val="22"/>
              </w:rPr>
              <w:t>Data controller</w:t>
            </w:r>
          </w:p>
        </w:tc>
        <w:tc>
          <w:tcPr>
            <w:tcW w:w="6657" w:type="dxa"/>
          </w:tcPr>
          <w:p w14:paraId="1760731D" w14:textId="165B2D54" w:rsidR="00692BE7" w:rsidRDefault="005636B3">
            <w:pPr>
              <w:spacing w:line="276" w:lineRule="auto"/>
              <w:rPr>
                <w:szCs w:val="22"/>
              </w:rPr>
            </w:pPr>
            <w:r w:rsidRPr="00E52354">
              <w:rPr>
                <w:szCs w:val="22"/>
                <w:lang w:val="en-US"/>
              </w:rPr>
              <w:t xml:space="preserve">The administrator of your personal data is </w:t>
            </w:r>
            <w:r w:rsidR="00211514" w:rsidRPr="00E52354">
              <w:rPr>
                <w:szCs w:val="22"/>
                <w:lang w:val="en-US"/>
              </w:rPr>
              <w:t xml:space="preserve">TRANSITION TECHNOLOGIES MS SPÓŁKA AKCYJNA </w:t>
            </w:r>
            <w:r w:rsidRPr="00E52354">
              <w:rPr>
                <w:szCs w:val="22"/>
                <w:lang w:val="en-US"/>
              </w:rPr>
              <w:t xml:space="preserve">based in </w:t>
            </w:r>
            <w:r w:rsidR="007713DD" w:rsidRPr="00E52354">
              <w:rPr>
                <w:szCs w:val="22"/>
                <w:lang w:val="en-US"/>
              </w:rPr>
              <w:t xml:space="preserve">Warsaw </w:t>
            </w:r>
            <w:r w:rsidRPr="00E52354">
              <w:rPr>
                <w:szCs w:val="22"/>
                <w:lang w:val="en-US"/>
              </w:rPr>
              <w:t xml:space="preserve">e-mail address: </w:t>
            </w:r>
            <w:r w:rsidR="00E52354" w:rsidRPr="00E52354">
              <w:rPr>
                <w:szCs w:val="22"/>
                <w:lang w:val="en-US"/>
              </w:rPr>
              <w:t xml:space="preserve">rodo@ttms.pl, tel. </w:t>
            </w:r>
            <w:r w:rsidR="00E52354" w:rsidRPr="00E52354">
              <w:rPr>
                <w:szCs w:val="22"/>
              </w:rPr>
              <w:t xml:space="preserve">+48 22 378 45 58 </w:t>
            </w:r>
            <w:r w:rsidRPr="00D546B4">
              <w:rPr>
                <w:szCs w:val="22"/>
              </w:rPr>
              <w:t>(</w:t>
            </w:r>
            <w:proofErr w:type="spellStart"/>
            <w:r w:rsidRPr="00D546B4">
              <w:rPr>
                <w:szCs w:val="22"/>
              </w:rPr>
              <w:t>hereinafter</w:t>
            </w:r>
            <w:proofErr w:type="spellEnd"/>
            <w:r w:rsidRPr="00D546B4">
              <w:rPr>
                <w:szCs w:val="22"/>
              </w:rPr>
              <w:t>: Administrator).</w:t>
            </w:r>
          </w:p>
        </w:tc>
      </w:tr>
      <w:tr w:rsidR="00ED77DB" w:rsidRPr="00E52354" w14:paraId="45269F74" w14:textId="77777777" w:rsidTr="00ED77DB">
        <w:tc>
          <w:tcPr>
            <w:tcW w:w="2405" w:type="dxa"/>
          </w:tcPr>
          <w:p w14:paraId="6A2CD748" w14:textId="77777777" w:rsidR="00692BE7" w:rsidRDefault="005636B3">
            <w:pPr>
              <w:spacing w:line="276" w:lineRule="auto"/>
              <w:rPr>
                <w:b/>
                <w:bCs/>
                <w:szCs w:val="22"/>
              </w:rPr>
            </w:pPr>
            <w:r w:rsidRPr="00D546B4">
              <w:rPr>
                <w:b/>
                <w:bCs/>
                <w:szCs w:val="22"/>
              </w:rPr>
              <w:t>Personal data</w:t>
            </w:r>
          </w:p>
        </w:tc>
        <w:tc>
          <w:tcPr>
            <w:tcW w:w="6657" w:type="dxa"/>
          </w:tcPr>
          <w:p w14:paraId="554BC464" w14:textId="53F14213" w:rsidR="00692BE7" w:rsidRPr="00E52354" w:rsidRDefault="005636B3">
            <w:pPr>
              <w:rPr>
                <w:szCs w:val="22"/>
                <w:highlight w:val="yellow"/>
                <w:lang w:val="en-US"/>
              </w:rPr>
            </w:pPr>
            <w:r w:rsidRPr="00E52354">
              <w:rPr>
                <w:szCs w:val="22"/>
                <w:lang w:val="en-US"/>
              </w:rPr>
              <w:t xml:space="preserve">The </w:t>
            </w:r>
            <w:r w:rsidR="00AA547F" w:rsidRPr="00E52354">
              <w:rPr>
                <w:szCs w:val="22"/>
                <w:lang w:val="en-US"/>
              </w:rPr>
              <w:t>A</w:t>
            </w:r>
            <w:r w:rsidRPr="00E52354">
              <w:rPr>
                <w:szCs w:val="22"/>
                <w:lang w:val="en-US"/>
              </w:rPr>
              <w:t xml:space="preserve">dministrator processes your personal data that </w:t>
            </w:r>
            <w:r w:rsidR="00392834" w:rsidRPr="00E52354">
              <w:rPr>
                <w:szCs w:val="22"/>
                <w:lang w:val="en-US"/>
              </w:rPr>
              <w:t xml:space="preserve">is </w:t>
            </w:r>
            <w:r w:rsidRPr="00E52354">
              <w:rPr>
                <w:szCs w:val="22"/>
                <w:lang w:val="en-US"/>
              </w:rPr>
              <w:t xml:space="preserve">included in the </w:t>
            </w:r>
            <w:r w:rsidR="00796422" w:rsidRPr="00E52354">
              <w:rPr>
                <w:szCs w:val="22"/>
                <w:lang w:val="en-US"/>
              </w:rPr>
              <w:t xml:space="preserve">infringement </w:t>
            </w:r>
            <w:r w:rsidRPr="00E52354">
              <w:rPr>
                <w:szCs w:val="22"/>
                <w:lang w:val="en-US"/>
              </w:rPr>
              <w:t>report you send</w:t>
            </w:r>
            <w:r w:rsidR="00392834" w:rsidRPr="00E52354">
              <w:rPr>
                <w:szCs w:val="22"/>
                <w:lang w:val="en-US"/>
              </w:rPr>
              <w:t>, i.e. any data entered in the system for making notifications, e.g.: name, surname, contact data (e-mail address, telephone number, home address), description of the incident</w:t>
            </w:r>
            <w:r w:rsidR="00A751DE" w:rsidRPr="00E52354">
              <w:rPr>
                <w:szCs w:val="22"/>
                <w:lang w:val="en-US"/>
              </w:rPr>
              <w:t>.</w:t>
            </w:r>
          </w:p>
        </w:tc>
      </w:tr>
      <w:tr w:rsidR="00ED77DB" w:rsidRPr="00E52354" w14:paraId="7993F68B" w14:textId="77777777" w:rsidTr="00ED77DB">
        <w:tc>
          <w:tcPr>
            <w:tcW w:w="2405" w:type="dxa"/>
          </w:tcPr>
          <w:p w14:paraId="56BA04FF" w14:textId="77777777" w:rsidR="00692BE7" w:rsidRDefault="005636B3">
            <w:pPr>
              <w:spacing w:line="276" w:lineRule="auto"/>
              <w:rPr>
                <w:b/>
                <w:bCs/>
                <w:szCs w:val="22"/>
              </w:rPr>
            </w:pPr>
            <w:proofErr w:type="spellStart"/>
            <w:r w:rsidRPr="00D546B4">
              <w:rPr>
                <w:b/>
                <w:bCs/>
                <w:szCs w:val="22"/>
              </w:rPr>
              <w:t>Purpose</w:t>
            </w:r>
            <w:proofErr w:type="spellEnd"/>
            <w:r w:rsidRPr="00D546B4">
              <w:rPr>
                <w:b/>
                <w:bCs/>
                <w:szCs w:val="22"/>
              </w:rPr>
              <w:t xml:space="preserve"> of </w:t>
            </w:r>
            <w:proofErr w:type="spellStart"/>
            <w:r w:rsidRPr="00D546B4">
              <w:rPr>
                <w:b/>
                <w:bCs/>
                <w:szCs w:val="22"/>
              </w:rPr>
              <w:t>processing</w:t>
            </w:r>
            <w:proofErr w:type="spellEnd"/>
          </w:p>
        </w:tc>
        <w:tc>
          <w:tcPr>
            <w:tcW w:w="6657" w:type="dxa"/>
          </w:tcPr>
          <w:p w14:paraId="395E8E38" w14:textId="77777777" w:rsidR="00692BE7" w:rsidRPr="00E52354" w:rsidRDefault="005636B3">
            <w:pPr>
              <w:spacing w:line="276" w:lineRule="auto"/>
              <w:rPr>
                <w:szCs w:val="22"/>
                <w:lang w:val="en-US"/>
              </w:rPr>
            </w:pPr>
            <w:r w:rsidRPr="00E52354">
              <w:rPr>
                <w:szCs w:val="22"/>
                <w:lang w:val="en-US"/>
              </w:rPr>
              <w:t xml:space="preserve">Your personal data may be processed for the following purposes: </w:t>
            </w:r>
          </w:p>
          <w:p w14:paraId="7B82BD2D" w14:textId="77777777" w:rsidR="00692BE7" w:rsidRDefault="005636B3">
            <w:pPr>
              <w:pStyle w:val="Akapitzlist"/>
              <w:numPr>
                <w:ilvl w:val="0"/>
                <w:numId w:val="2"/>
              </w:numPr>
              <w:spacing w:line="276" w:lineRule="auto"/>
              <w:rPr>
                <w:szCs w:val="22"/>
              </w:rPr>
            </w:pPr>
            <w:proofErr w:type="spellStart"/>
            <w:r w:rsidRPr="00D546B4">
              <w:rPr>
                <w:szCs w:val="22"/>
              </w:rPr>
              <w:t>conducting</w:t>
            </w:r>
            <w:proofErr w:type="spellEnd"/>
            <w:r w:rsidRPr="00D546B4">
              <w:rPr>
                <w:szCs w:val="22"/>
              </w:rPr>
              <w:t xml:space="preserve"> </w:t>
            </w:r>
            <w:proofErr w:type="spellStart"/>
            <w:r w:rsidRPr="00D546B4">
              <w:rPr>
                <w:szCs w:val="22"/>
              </w:rPr>
              <w:t>an</w:t>
            </w:r>
            <w:proofErr w:type="spellEnd"/>
            <w:r w:rsidRPr="00D546B4">
              <w:rPr>
                <w:szCs w:val="22"/>
              </w:rPr>
              <w:t xml:space="preserve"> </w:t>
            </w:r>
            <w:proofErr w:type="spellStart"/>
            <w:r w:rsidRPr="00D546B4">
              <w:rPr>
                <w:szCs w:val="22"/>
              </w:rPr>
              <w:t>internal</w:t>
            </w:r>
            <w:proofErr w:type="spellEnd"/>
            <w:r w:rsidRPr="00D546B4">
              <w:rPr>
                <w:szCs w:val="22"/>
              </w:rPr>
              <w:t xml:space="preserve"> </w:t>
            </w:r>
            <w:proofErr w:type="spellStart"/>
            <w:r w:rsidRPr="00D546B4">
              <w:rPr>
                <w:szCs w:val="22"/>
              </w:rPr>
              <w:t>investigation</w:t>
            </w:r>
            <w:proofErr w:type="spellEnd"/>
            <w:r w:rsidRPr="00D546B4">
              <w:rPr>
                <w:szCs w:val="22"/>
              </w:rPr>
              <w:t>,</w:t>
            </w:r>
          </w:p>
          <w:p w14:paraId="61A06873" w14:textId="77777777" w:rsidR="00692BE7" w:rsidRPr="00E52354" w:rsidRDefault="005636B3">
            <w:pPr>
              <w:pStyle w:val="Akapitzlist"/>
              <w:numPr>
                <w:ilvl w:val="0"/>
                <w:numId w:val="2"/>
              </w:numPr>
              <w:spacing w:line="276" w:lineRule="auto"/>
              <w:rPr>
                <w:szCs w:val="22"/>
                <w:lang w:val="en-US"/>
              </w:rPr>
            </w:pPr>
            <w:r w:rsidRPr="00E52354">
              <w:rPr>
                <w:szCs w:val="22"/>
                <w:lang w:val="en-US"/>
              </w:rPr>
              <w:t xml:space="preserve">evidence, administrative, complaint and investigation proceedings, </w:t>
            </w:r>
          </w:p>
          <w:p w14:paraId="61D3DC6A" w14:textId="77777777" w:rsidR="00692BE7" w:rsidRPr="00E52354" w:rsidRDefault="005636B3">
            <w:pPr>
              <w:pStyle w:val="Akapitzlist"/>
              <w:numPr>
                <w:ilvl w:val="0"/>
                <w:numId w:val="2"/>
              </w:numPr>
              <w:spacing w:line="276" w:lineRule="auto"/>
              <w:rPr>
                <w:szCs w:val="22"/>
                <w:lang w:val="en-US"/>
              </w:rPr>
            </w:pPr>
            <w:r w:rsidRPr="00E52354">
              <w:rPr>
                <w:szCs w:val="22"/>
                <w:lang w:val="en-US"/>
              </w:rPr>
              <w:t>keeping a register of incoming and outgoing correspondence,</w:t>
            </w:r>
          </w:p>
          <w:p w14:paraId="17BBCA24" w14:textId="77777777" w:rsidR="00692BE7" w:rsidRPr="00E52354" w:rsidRDefault="005636B3">
            <w:pPr>
              <w:pStyle w:val="Akapitzlist"/>
              <w:numPr>
                <w:ilvl w:val="0"/>
                <w:numId w:val="2"/>
              </w:numPr>
              <w:spacing w:line="276" w:lineRule="auto"/>
              <w:rPr>
                <w:szCs w:val="22"/>
                <w:lang w:val="en-US"/>
              </w:rPr>
            </w:pPr>
            <w:r w:rsidRPr="00E52354">
              <w:rPr>
                <w:szCs w:val="22"/>
                <w:lang w:val="en-US"/>
              </w:rPr>
              <w:t>activities relating to the forwarding of correspondence to the competent authorities;</w:t>
            </w:r>
          </w:p>
          <w:p w14:paraId="1A4695AE" w14:textId="77777777" w:rsidR="00692BE7" w:rsidRPr="00E52354" w:rsidRDefault="005636B3">
            <w:pPr>
              <w:pStyle w:val="Akapitzlist"/>
              <w:numPr>
                <w:ilvl w:val="0"/>
                <w:numId w:val="2"/>
              </w:numPr>
              <w:spacing w:line="276" w:lineRule="auto"/>
              <w:rPr>
                <w:szCs w:val="22"/>
                <w:lang w:val="en-US"/>
              </w:rPr>
            </w:pPr>
            <w:r w:rsidRPr="00E52354">
              <w:rPr>
                <w:szCs w:val="22"/>
                <w:lang w:val="en-US"/>
              </w:rPr>
              <w:t>replying to correspondence addressed by you.</w:t>
            </w:r>
          </w:p>
        </w:tc>
      </w:tr>
      <w:tr w:rsidR="00ED77DB" w:rsidRPr="00E52354" w14:paraId="37C99282" w14:textId="77777777" w:rsidTr="00ED77DB">
        <w:tc>
          <w:tcPr>
            <w:tcW w:w="2405" w:type="dxa"/>
          </w:tcPr>
          <w:p w14:paraId="20E8FC72" w14:textId="77777777" w:rsidR="00692BE7" w:rsidRDefault="005636B3">
            <w:pPr>
              <w:spacing w:line="276" w:lineRule="auto"/>
              <w:rPr>
                <w:b/>
                <w:bCs/>
                <w:szCs w:val="22"/>
              </w:rPr>
            </w:pPr>
            <w:proofErr w:type="spellStart"/>
            <w:r w:rsidRPr="00D546B4">
              <w:rPr>
                <w:b/>
                <w:bCs/>
                <w:szCs w:val="22"/>
              </w:rPr>
              <w:t>Legal</w:t>
            </w:r>
            <w:proofErr w:type="spellEnd"/>
            <w:r w:rsidRPr="00D546B4">
              <w:rPr>
                <w:b/>
                <w:bCs/>
                <w:szCs w:val="22"/>
              </w:rPr>
              <w:t xml:space="preserve"> </w:t>
            </w:r>
            <w:proofErr w:type="spellStart"/>
            <w:r w:rsidRPr="00D546B4">
              <w:rPr>
                <w:b/>
                <w:bCs/>
                <w:szCs w:val="22"/>
              </w:rPr>
              <w:t>basis</w:t>
            </w:r>
            <w:proofErr w:type="spellEnd"/>
          </w:p>
        </w:tc>
        <w:tc>
          <w:tcPr>
            <w:tcW w:w="6657" w:type="dxa"/>
          </w:tcPr>
          <w:p w14:paraId="252958CA" w14:textId="77777777" w:rsidR="00692BE7" w:rsidRPr="00E52354" w:rsidRDefault="005636B3">
            <w:pPr>
              <w:spacing w:line="276" w:lineRule="auto"/>
              <w:rPr>
                <w:szCs w:val="22"/>
                <w:lang w:val="en-US"/>
              </w:rPr>
            </w:pPr>
            <w:r w:rsidRPr="00E52354">
              <w:rPr>
                <w:szCs w:val="22"/>
                <w:lang w:val="en-US"/>
              </w:rPr>
              <w:t xml:space="preserve">The legal basis for the processing of your personal data is </w:t>
            </w:r>
            <w:r w:rsidR="006E4553" w:rsidRPr="00E52354">
              <w:rPr>
                <w:szCs w:val="22"/>
                <w:lang w:val="en-US"/>
              </w:rPr>
              <w:t xml:space="preserve">Article 6(1)(c) RODO </w:t>
            </w:r>
            <w:r w:rsidRPr="00E52354">
              <w:rPr>
                <w:szCs w:val="22"/>
                <w:lang w:val="en-US"/>
              </w:rPr>
              <w:t xml:space="preserve">and </w:t>
            </w:r>
            <w:r w:rsidR="006E4553" w:rsidRPr="00E52354">
              <w:rPr>
                <w:szCs w:val="22"/>
                <w:lang w:val="en-US"/>
              </w:rPr>
              <w:t>Article 6(1)(f) RODO</w:t>
            </w:r>
            <w:r w:rsidRPr="00E52354">
              <w:rPr>
                <w:szCs w:val="22"/>
                <w:lang w:val="en-US"/>
              </w:rPr>
              <w:t>.</w:t>
            </w:r>
          </w:p>
        </w:tc>
      </w:tr>
      <w:tr w:rsidR="00ED77DB" w:rsidRPr="00E52354" w14:paraId="22DB0B02" w14:textId="77777777" w:rsidTr="00ED77DB">
        <w:tc>
          <w:tcPr>
            <w:tcW w:w="2405" w:type="dxa"/>
          </w:tcPr>
          <w:p w14:paraId="3E3FF9C7" w14:textId="77777777" w:rsidR="00692BE7" w:rsidRDefault="005636B3">
            <w:pPr>
              <w:spacing w:line="276" w:lineRule="auto"/>
              <w:rPr>
                <w:b/>
                <w:bCs/>
                <w:szCs w:val="22"/>
              </w:rPr>
            </w:pPr>
            <w:r w:rsidRPr="00D546B4">
              <w:rPr>
                <w:b/>
                <w:bCs/>
                <w:szCs w:val="22"/>
              </w:rPr>
              <w:t xml:space="preserve">Processing </w:t>
            </w:r>
            <w:proofErr w:type="spellStart"/>
            <w:r w:rsidRPr="00D546B4">
              <w:rPr>
                <w:b/>
                <w:bCs/>
                <w:szCs w:val="22"/>
              </w:rPr>
              <w:t>time</w:t>
            </w:r>
            <w:proofErr w:type="spellEnd"/>
          </w:p>
        </w:tc>
        <w:tc>
          <w:tcPr>
            <w:tcW w:w="6657" w:type="dxa"/>
          </w:tcPr>
          <w:p w14:paraId="375E0A34" w14:textId="77777777" w:rsidR="00692BE7" w:rsidRPr="00E52354" w:rsidRDefault="005636B3">
            <w:pPr>
              <w:spacing w:line="276" w:lineRule="auto"/>
              <w:rPr>
                <w:szCs w:val="22"/>
                <w:lang w:val="en-US"/>
              </w:rPr>
            </w:pPr>
            <w:r w:rsidRPr="00E52354">
              <w:rPr>
                <w:szCs w:val="22"/>
                <w:lang w:val="en-US"/>
              </w:rPr>
              <w:t xml:space="preserve">Your personal data will be processed for a period of </w:t>
            </w:r>
            <w:r w:rsidR="00375F1E" w:rsidRPr="00E52354">
              <w:rPr>
                <w:szCs w:val="22"/>
                <w:lang w:val="en-US"/>
              </w:rPr>
              <w:t xml:space="preserve">3 years </w:t>
            </w:r>
            <w:r w:rsidR="004B6260" w:rsidRPr="00E52354">
              <w:rPr>
                <w:szCs w:val="22"/>
                <w:lang w:val="en-US"/>
              </w:rPr>
              <w:t>after the end of the calendar year in which the follow-up actions have been completed or the proceedings initiated by these actions have ended.</w:t>
            </w:r>
          </w:p>
        </w:tc>
      </w:tr>
      <w:tr w:rsidR="00ED77DB" w:rsidRPr="00E52354" w14:paraId="18FDB392" w14:textId="77777777" w:rsidTr="00ED77DB">
        <w:tc>
          <w:tcPr>
            <w:tcW w:w="2405" w:type="dxa"/>
          </w:tcPr>
          <w:p w14:paraId="2DBA4E99" w14:textId="77777777" w:rsidR="00692BE7" w:rsidRPr="00E52354" w:rsidRDefault="005636B3">
            <w:pPr>
              <w:spacing w:line="276" w:lineRule="auto"/>
              <w:rPr>
                <w:b/>
                <w:bCs/>
                <w:szCs w:val="22"/>
                <w:lang w:val="en-US"/>
              </w:rPr>
            </w:pPr>
            <w:r w:rsidRPr="00E52354">
              <w:rPr>
                <w:b/>
                <w:bCs/>
                <w:szCs w:val="22"/>
                <w:lang w:val="en-US"/>
              </w:rPr>
              <w:t>Recipients of data</w:t>
            </w:r>
          </w:p>
          <w:p w14:paraId="744A74FC" w14:textId="77777777" w:rsidR="00ED77DB" w:rsidRPr="00E52354" w:rsidRDefault="00ED77DB" w:rsidP="00E93708">
            <w:pPr>
              <w:spacing w:line="276" w:lineRule="auto"/>
              <w:rPr>
                <w:b/>
                <w:bCs/>
                <w:szCs w:val="22"/>
                <w:lang w:val="en-US"/>
              </w:rPr>
            </w:pPr>
          </w:p>
          <w:p w14:paraId="5F661806" w14:textId="77777777" w:rsidR="00692BE7" w:rsidRPr="00E52354" w:rsidRDefault="005636B3">
            <w:pPr>
              <w:spacing w:line="276" w:lineRule="auto"/>
              <w:rPr>
                <w:b/>
                <w:bCs/>
                <w:szCs w:val="22"/>
                <w:lang w:val="en-US"/>
              </w:rPr>
            </w:pPr>
            <w:r w:rsidRPr="00E52354">
              <w:rPr>
                <w:b/>
                <w:bCs/>
                <w:szCs w:val="22"/>
                <w:lang w:val="en-US"/>
              </w:rPr>
              <w:t>Transfers to third countries</w:t>
            </w:r>
          </w:p>
        </w:tc>
        <w:tc>
          <w:tcPr>
            <w:tcW w:w="6657" w:type="dxa"/>
          </w:tcPr>
          <w:p w14:paraId="6AB49337" w14:textId="6A8C6440" w:rsidR="00692BE7" w:rsidRPr="00E52354" w:rsidRDefault="005636B3">
            <w:pPr>
              <w:spacing w:line="276" w:lineRule="auto"/>
              <w:rPr>
                <w:szCs w:val="22"/>
                <w:lang w:val="en-US"/>
              </w:rPr>
            </w:pPr>
            <w:r w:rsidRPr="00E52354">
              <w:rPr>
                <w:szCs w:val="22"/>
                <w:lang w:val="en-US"/>
              </w:rPr>
              <w:t>The recipients of your personal data will be the entities to which the Administrator is obliged to provide data on the basis of the law and the entities to which the Administrator has entrusted the processing of data, i.e. the entity providing the platform service for handling infringement notifications, law firms</w:t>
            </w:r>
            <w:r w:rsidR="00C8333D" w:rsidRPr="00E52354">
              <w:rPr>
                <w:szCs w:val="22"/>
                <w:lang w:val="en-US"/>
              </w:rPr>
              <w:t>.</w:t>
            </w:r>
          </w:p>
          <w:p w14:paraId="5EB8E77F" w14:textId="77777777" w:rsidR="00B813C1" w:rsidRPr="00E52354" w:rsidRDefault="00B813C1" w:rsidP="00E93708">
            <w:pPr>
              <w:spacing w:line="276" w:lineRule="auto"/>
              <w:rPr>
                <w:szCs w:val="22"/>
                <w:lang w:val="en-US"/>
              </w:rPr>
            </w:pPr>
          </w:p>
          <w:p w14:paraId="2C809A8B" w14:textId="77777777" w:rsidR="00692BE7" w:rsidRPr="00E52354" w:rsidRDefault="005636B3">
            <w:pPr>
              <w:spacing w:line="276" w:lineRule="auto"/>
              <w:rPr>
                <w:szCs w:val="22"/>
                <w:lang w:val="en-US"/>
              </w:rPr>
            </w:pPr>
            <w:r w:rsidRPr="00E52354">
              <w:rPr>
                <w:szCs w:val="22"/>
                <w:lang w:val="en-US"/>
              </w:rPr>
              <w:t>The Administrator does not transfer your personal data outside the European Economic Area (EEA). In the event that it is necessary to transfer your personal data outside the EEA, each time it will involve the Administrator implementing solutions to protect your rights and freedoms. The transfer will take place on the basis of the safeguards permitted under the RODO that is:</w:t>
            </w:r>
          </w:p>
          <w:p w14:paraId="5CB5A01C" w14:textId="77777777" w:rsidR="00692BE7" w:rsidRPr="00E52354" w:rsidRDefault="005636B3">
            <w:pPr>
              <w:pStyle w:val="Akapitzlist"/>
              <w:numPr>
                <w:ilvl w:val="0"/>
                <w:numId w:val="3"/>
              </w:numPr>
              <w:spacing w:line="276" w:lineRule="auto"/>
              <w:jc w:val="left"/>
              <w:rPr>
                <w:rFonts w:eastAsia="Times New Roman" w:cs="Times New Roman"/>
                <w:szCs w:val="22"/>
                <w:lang w:val="en-US" w:eastAsia="pl-PL"/>
              </w:rPr>
            </w:pPr>
            <w:r w:rsidRPr="00E52354">
              <w:rPr>
                <w:rFonts w:eastAsia="Times New Roman" w:cs="Times New Roman"/>
                <w:szCs w:val="22"/>
                <w:lang w:val="en-US" w:eastAsia="pl-PL"/>
              </w:rPr>
              <w:t xml:space="preserve">to a country for which the European Commission has issued an adequacy decision in the area of personal data protection (Article 45(1) RODO), </w:t>
            </w:r>
            <w:r w:rsidRPr="00E52354">
              <w:rPr>
                <w:rFonts w:eastAsia="Times New Roman" w:cs="Times New Roman"/>
                <w:szCs w:val="22"/>
                <w:lang w:val="en-US" w:eastAsia="pl-PL"/>
              </w:rPr>
              <w:br/>
              <w:t>or</w:t>
            </w:r>
          </w:p>
          <w:p w14:paraId="3ECC354D" w14:textId="77777777" w:rsidR="00692BE7" w:rsidRPr="00E52354" w:rsidRDefault="005636B3">
            <w:pPr>
              <w:numPr>
                <w:ilvl w:val="0"/>
                <w:numId w:val="3"/>
              </w:numPr>
              <w:spacing w:after="120" w:line="276" w:lineRule="auto"/>
              <w:jc w:val="left"/>
              <w:rPr>
                <w:rFonts w:eastAsia="Times New Roman" w:cs="Times New Roman"/>
                <w:szCs w:val="22"/>
                <w:lang w:val="en-US" w:eastAsia="pl-PL"/>
              </w:rPr>
            </w:pPr>
            <w:r w:rsidRPr="00E52354">
              <w:rPr>
                <w:rFonts w:eastAsia="Times New Roman" w:cs="Times New Roman"/>
                <w:szCs w:val="22"/>
                <w:lang w:val="en-US" w:eastAsia="pl-PL"/>
              </w:rPr>
              <w:t>using the standard contractual clauses referred to in Article 46(2)(c) of the RODO.</w:t>
            </w:r>
          </w:p>
        </w:tc>
      </w:tr>
      <w:tr w:rsidR="00ED77DB" w:rsidRPr="00E52354" w14:paraId="611F24C5" w14:textId="77777777" w:rsidTr="00ED77DB">
        <w:tc>
          <w:tcPr>
            <w:tcW w:w="2405" w:type="dxa"/>
          </w:tcPr>
          <w:p w14:paraId="3B25B0BA" w14:textId="77777777" w:rsidR="00692BE7" w:rsidRDefault="005636B3">
            <w:pPr>
              <w:spacing w:line="276" w:lineRule="auto"/>
              <w:rPr>
                <w:b/>
                <w:bCs/>
                <w:szCs w:val="22"/>
              </w:rPr>
            </w:pPr>
            <w:proofErr w:type="spellStart"/>
            <w:r w:rsidRPr="00D546B4">
              <w:rPr>
                <w:b/>
                <w:bCs/>
                <w:szCs w:val="22"/>
              </w:rPr>
              <w:t>Your</w:t>
            </w:r>
            <w:proofErr w:type="spellEnd"/>
            <w:r w:rsidRPr="00D546B4">
              <w:rPr>
                <w:b/>
                <w:bCs/>
                <w:szCs w:val="22"/>
              </w:rPr>
              <w:t xml:space="preserve"> </w:t>
            </w:r>
            <w:proofErr w:type="spellStart"/>
            <w:r w:rsidRPr="00D546B4">
              <w:rPr>
                <w:b/>
                <w:bCs/>
                <w:szCs w:val="22"/>
              </w:rPr>
              <w:t>rights</w:t>
            </w:r>
            <w:proofErr w:type="spellEnd"/>
          </w:p>
        </w:tc>
        <w:tc>
          <w:tcPr>
            <w:tcW w:w="6657" w:type="dxa"/>
          </w:tcPr>
          <w:p w14:paraId="2FF99CAC" w14:textId="77777777" w:rsidR="00692BE7" w:rsidRPr="00E52354" w:rsidRDefault="005636B3">
            <w:pPr>
              <w:spacing w:line="276" w:lineRule="auto"/>
              <w:rPr>
                <w:szCs w:val="22"/>
                <w:lang w:val="en-US"/>
              </w:rPr>
            </w:pPr>
            <w:r w:rsidRPr="00E52354">
              <w:rPr>
                <w:szCs w:val="22"/>
                <w:lang w:val="en-US"/>
              </w:rPr>
              <w:t>You have the following rights in relation to the processing of your personal data: to request access to your personal data, as well as to rectify (amend) it; to request erasure or restriction of processing; and to object to processing, but only if further processing is not necessary for the Administrator to comply with a legal obligation and there are no other overriding legal grounds for processing</w:t>
            </w:r>
            <w:r w:rsidR="00E93708" w:rsidRPr="00E52354">
              <w:rPr>
                <w:szCs w:val="22"/>
                <w:lang w:val="en-US"/>
              </w:rPr>
              <w:t>.</w:t>
            </w:r>
          </w:p>
          <w:p w14:paraId="5FEC15E9" w14:textId="77777777" w:rsidR="006E6B78" w:rsidRPr="00E52354" w:rsidRDefault="006E6B78" w:rsidP="00E93708">
            <w:pPr>
              <w:spacing w:line="276" w:lineRule="auto"/>
              <w:rPr>
                <w:szCs w:val="22"/>
                <w:lang w:val="en-US"/>
              </w:rPr>
            </w:pPr>
          </w:p>
          <w:p w14:paraId="15FC48CE" w14:textId="77777777" w:rsidR="00692BE7" w:rsidRPr="00E52354" w:rsidRDefault="005636B3">
            <w:pPr>
              <w:spacing w:line="276" w:lineRule="auto"/>
              <w:rPr>
                <w:szCs w:val="22"/>
                <w:lang w:val="en-US"/>
              </w:rPr>
            </w:pPr>
            <w:r w:rsidRPr="00E52354">
              <w:rPr>
                <w:szCs w:val="22"/>
                <w:lang w:val="en-US"/>
              </w:rPr>
              <w:t xml:space="preserve">You also have the right to lodge a complaint against the processing of your personal data carried out by the Controller to the President of UODO (uodo.gov.pl) </w:t>
            </w:r>
          </w:p>
        </w:tc>
      </w:tr>
      <w:tr w:rsidR="00ED77DB" w:rsidRPr="00E52354" w14:paraId="3B753AC0" w14:textId="77777777" w:rsidTr="00ED77DB">
        <w:tc>
          <w:tcPr>
            <w:tcW w:w="2405" w:type="dxa"/>
          </w:tcPr>
          <w:p w14:paraId="0A81C3E8" w14:textId="77777777" w:rsidR="00692BE7" w:rsidRPr="00E52354" w:rsidRDefault="005636B3">
            <w:pPr>
              <w:spacing w:line="276" w:lineRule="auto"/>
              <w:rPr>
                <w:b/>
                <w:bCs/>
                <w:szCs w:val="22"/>
                <w:lang w:val="en-US"/>
              </w:rPr>
            </w:pPr>
            <w:r w:rsidRPr="00E52354">
              <w:rPr>
                <w:b/>
                <w:bCs/>
                <w:szCs w:val="22"/>
                <w:lang w:val="en-US"/>
              </w:rPr>
              <w:lastRenderedPageBreak/>
              <w:t>Source of data and voluntariness of data</w:t>
            </w:r>
          </w:p>
        </w:tc>
        <w:tc>
          <w:tcPr>
            <w:tcW w:w="6657" w:type="dxa"/>
          </w:tcPr>
          <w:p w14:paraId="2F45502F" w14:textId="77777777" w:rsidR="00692BE7" w:rsidRPr="00E52354" w:rsidRDefault="005636B3">
            <w:pPr>
              <w:spacing w:line="276" w:lineRule="auto"/>
              <w:rPr>
                <w:szCs w:val="22"/>
                <w:lang w:val="en-US"/>
              </w:rPr>
            </w:pPr>
            <w:r w:rsidRPr="00E52354">
              <w:rPr>
                <w:szCs w:val="22"/>
                <w:lang w:val="en-US"/>
              </w:rPr>
              <w:t>The provision of data is voluntary, but necessary for the acceptance and processing of the application.</w:t>
            </w:r>
            <w:r w:rsidR="006E6B78" w:rsidRPr="00E52354">
              <w:rPr>
                <w:szCs w:val="22"/>
                <w:lang w:val="en-US"/>
              </w:rPr>
              <w:t xml:space="preserve"> The administrator assures you of the confidentiality of your data, in relation to the notification received.</w:t>
            </w:r>
          </w:p>
        </w:tc>
      </w:tr>
      <w:tr w:rsidR="00ED77DB" w:rsidRPr="00E52354" w14:paraId="1CFC9B3A" w14:textId="77777777" w:rsidTr="00ED77DB">
        <w:tc>
          <w:tcPr>
            <w:tcW w:w="2405" w:type="dxa"/>
          </w:tcPr>
          <w:p w14:paraId="1121D7B2" w14:textId="77777777" w:rsidR="00692BE7" w:rsidRDefault="005636B3">
            <w:pPr>
              <w:spacing w:line="276" w:lineRule="auto"/>
              <w:rPr>
                <w:b/>
                <w:bCs/>
                <w:szCs w:val="22"/>
              </w:rPr>
            </w:pPr>
            <w:proofErr w:type="spellStart"/>
            <w:r w:rsidRPr="00D546B4">
              <w:rPr>
                <w:b/>
                <w:bCs/>
                <w:szCs w:val="22"/>
              </w:rPr>
              <w:t>Automated</w:t>
            </w:r>
            <w:proofErr w:type="spellEnd"/>
            <w:r w:rsidRPr="00D546B4">
              <w:rPr>
                <w:b/>
                <w:bCs/>
                <w:szCs w:val="22"/>
              </w:rPr>
              <w:t xml:space="preserve"> </w:t>
            </w:r>
            <w:proofErr w:type="spellStart"/>
            <w:r w:rsidRPr="00D546B4">
              <w:rPr>
                <w:b/>
                <w:bCs/>
                <w:szCs w:val="22"/>
              </w:rPr>
              <w:t>decision-making</w:t>
            </w:r>
            <w:proofErr w:type="spellEnd"/>
          </w:p>
        </w:tc>
        <w:tc>
          <w:tcPr>
            <w:tcW w:w="6657" w:type="dxa"/>
          </w:tcPr>
          <w:p w14:paraId="5A5C791E" w14:textId="77777777" w:rsidR="00692BE7" w:rsidRPr="00E52354" w:rsidRDefault="005636B3">
            <w:pPr>
              <w:spacing w:line="276" w:lineRule="auto"/>
              <w:rPr>
                <w:szCs w:val="22"/>
                <w:lang w:val="en-US"/>
              </w:rPr>
            </w:pPr>
            <w:r w:rsidRPr="00E52354">
              <w:rPr>
                <w:szCs w:val="22"/>
                <w:lang w:val="en-US"/>
              </w:rPr>
              <w:t>No automated decision-making, including profiling, will take place in connection with the processing of your personal data.</w:t>
            </w:r>
          </w:p>
        </w:tc>
      </w:tr>
      <w:tr w:rsidR="00ED77DB" w:rsidRPr="00E52354" w14:paraId="58A2C279" w14:textId="77777777" w:rsidTr="00ED77DB">
        <w:tc>
          <w:tcPr>
            <w:tcW w:w="2405" w:type="dxa"/>
          </w:tcPr>
          <w:p w14:paraId="289F493E" w14:textId="77777777" w:rsidR="00692BE7" w:rsidRDefault="005636B3">
            <w:pPr>
              <w:spacing w:line="276" w:lineRule="auto"/>
              <w:rPr>
                <w:b/>
                <w:bCs/>
                <w:szCs w:val="22"/>
              </w:rPr>
            </w:pPr>
            <w:proofErr w:type="spellStart"/>
            <w:r w:rsidRPr="00D546B4">
              <w:rPr>
                <w:b/>
                <w:bCs/>
                <w:szCs w:val="22"/>
              </w:rPr>
              <w:t>Contact</w:t>
            </w:r>
            <w:proofErr w:type="spellEnd"/>
          </w:p>
          <w:p w14:paraId="0092C2FC" w14:textId="77777777" w:rsidR="00ED77DB" w:rsidRPr="00D546B4" w:rsidRDefault="00ED77DB" w:rsidP="00E93708">
            <w:pPr>
              <w:spacing w:line="276" w:lineRule="auto"/>
              <w:rPr>
                <w:b/>
                <w:bCs/>
                <w:szCs w:val="22"/>
              </w:rPr>
            </w:pPr>
          </w:p>
          <w:p w14:paraId="01C9A518" w14:textId="77777777" w:rsidR="00692BE7" w:rsidRDefault="005636B3">
            <w:pPr>
              <w:spacing w:line="276" w:lineRule="auto"/>
              <w:rPr>
                <w:b/>
                <w:bCs/>
                <w:szCs w:val="22"/>
              </w:rPr>
            </w:pPr>
            <w:r w:rsidRPr="00D546B4">
              <w:rPr>
                <w:b/>
                <w:bCs/>
                <w:szCs w:val="22"/>
              </w:rPr>
              <w:t>IOD</w:t>
            </w:r>
          </w:p>
        </w:tc>
        <w:tc>
          <w:tcPr>
            <w:tcW w:w="6657" w:type="dxa"/>
          </w:tcPr>
          <w:p w14:paraId="3EE99C21" w14:textId="71B883C6" w:rsidR="00692BE7" w:rsidRPr="00E52354" w:rsidRDefault="005636B3">
            <w:pPr>
              <w:spacing w:line="276" w:lineRule="auto"/>
              <w:rPr>
                <w:szCs w:val="22"/>
                <w:lang w:val="en-US"/>
              </w:rPr>
            </w:pPr>
            <w:r w:rsidRPr="00E52354">
              <w:rPr>
                <w:szCs w:val="22"/>
                <w:lang w:val="en-US"/>
              </w:rPr>
              <w:t xml:space="preserve">If you have any questions or requests regarding the processing of your personal data, please contact our Data Protection Officer by email at: </w:t>
            </w:r>
            <w:hyperlink r:id="rId7" w:tgtFrame="_blank" w:tooltip="mailto:rodo@ttms.pl" w:history="1">
              <w:r w:rsidRPr="00E52354">
                <w:rPr>
                  <w:rStyle w:val="Hipercze"/>
                  <w:szCs w:val="22"/>
                  <w:lang w:val="en-US"/>
                </w:rPr>
                <w:t>rodo@ttms.pl</w:t>
              </w:r>
            </w:hyperlink>
          </w:p>
        </w:tc>
      </w:tr>
    </w:tbl>
    <w:p w14:paraId="6A5293F8" w14:textId="634ECC2F" w:rsidR="00E70C8A" w:rsidRPr="00E52354" w:rsidRDefault="00E70C8A" w:rsidP="008011B1">
      <w:pPr>
        <w:rPr>
          <w:szCs w:val="22"/>
          <w:lang w:val="en-US"/>
        </w:rPr>
      </w:pPr>
    </w:p>
    <w:sectPr w:rsidR="00E70C8A" w:rsidRPr="00E5235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1A52C" w14:textId="77777777" w:rsidR="008F7966" w:rsidRDefault="008F7966" w:rsidP="00EC7BAF">
      <w:pPr>
        <w:spacing w:after="0" w:line="240" w:lineRule="auto"/>
      </w:pPr>
      <w:r>
        <w:separator/>
      </w:r>
    </w:p>
  </w:endnote>
  <w:endnote w:type="continuationSeparator" w:id="0">
    <w:p w14:paraId="32AB85E0" w14:textId="77777777" w:rsidR="008F7966" w:rsidRDefault="008F7966" w:rsidP="00EC7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Poppins">
    <w:charset w:val="EE"/>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8830" w14:textId="77777777" w:rsidR="00DE1205" w:rsidRDefault="00DE120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303D" w14:textId="77777777" w:rsidR="00DE1205" w:rsidRDefault="00DE120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FDBE8" w14:textId="77777777" w:rsidR="00DE1205" w:rsidRDefault="00DE12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03711" w14:textId="77777777" w:rsidR="008F7966" w:rsidRDefault="008F7966" w:rsidP="00EC7BAF">
      <w:pPr>
        <w:spacing w:after="0" w:line="240" w:lineRule="auto"/>
      </w:pPr>
      <w:r>
        <w:separator/>
      </w:r>
    </w:p>
  </w:footnote>
  <w:footnote w:type="continuationSeparator" w:id="0">
    <w:p w14:paraId="3E119564" w14:textId="77777777" w:rsidR="008F7966" w:rsidRDefault="008F7966" w:rsidP="00EC7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3D6E" w14:textId="77777777" w:rsidR="00DE1205" w:rsidRDefault="00DE120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5197C" w14:textId="32C3ECA3" w:rsidR="00692BE7" w:rsidRDefault="00692BE7">
    <w:pPr>
      <w:pStyle w:val="Nagwek"/>
      <w:spacing w:line="276" w:lineRule="auto"/>
      <w:rPr>
        <w:i/>
        <w:iCs/>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3583" w14:textId="77777777" w:rsidR="00DE1205" w:rsidRDefault="00DE120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05226"/>
    <w:multiLevelType w:val="hybridMultilevel"/>
    <w:tmpl w:val="8B0CE3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3071F8A"/>
    <w:multiLevelType w:val="multilevel"/>
    <w:tmpl w:val="035E7E32"/>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943247"/>
    <w:multiLevelType w:val="hybridMultilevel"/>
    <w:tmpl w:val="04D00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51088444">
    <w:abstractNumId w:val="0"/>
  </w:num>
  <w:num w:numId="2" w16cid:durableId="2024087946">
    <w:abstractNumId w:val="2"/>
  </w:num>
  <w:num w:numId="3" w16cid:durableId="1893229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7DB"/>
    <w:rsid w:val="000C48FA"/>
    <w:rsid w:val="00156511"/>
    <w:rsid w:val="001B5908"/>
    <w:rsid w:val="00211514"/>
    <w:rsid w:val="00375F1E"/>
    <w:rsid w:val="00391448"/>
    <w:rsid w:val="00392834"/>
    <w:rsid w:val="003B0E5C"/>
    <w:rsid w:val="00444966"/>
    <w:rsid w:val="004B6260"/>
    <w:rsid w:val="005636B3"/>
    <w:rsid w:val="005B1A88"/>
    <w:rsid w:val="00692BE7"/>
    <w:rsid w:val="006E4553"/>
    <w:rsid w:val="006E6B78"/>
    <w:rsid w:val="007239C5"/>
    <w:rsid w:val="007713DD"/>
    <w:rsid w:val="00796422"/>
    <w:rsid w:val="008011B1"/>
    <w:rsid w:val="00803020"/>
    <w:rsid w:val="0089570F"/>
    <w:rsid w:val="008B7DCB"/>
    <w:rsid w:val="008F7966"/>
    <w:rsid w:val="009A2CDF"/>
    <w:rsid w:val="009C364C"/>
    <w:rsid w:val="00A2582F"/>
    <w:rsid w:val="00A55A8C"/>
    <w:rsid w:val="00A751DE"/>
    <w:rsid w:val="00A918E7"/>
    <w:rsid w:val="00AA547F"/>
    <w:rsid w:val="00AD59E7"/>
    <w:rsid w:val="00B16810"/>
    <w:rsid w:val="00B777C7"/>
    <w:rsid w:val="00B813C1"/>
    <w:rsid w:val="00C8333D"/>
    <w:rsid w:val="00C97E32"/>
    <w:rsid w:val="00D33423"/>
    <w:rsid w:val="00D546B4"/>
    <w:rsid w:val="00DD72B0"/>
    <w:rsid w:val="00DE1205"/>
    <w:rsid w:val="00DF5EEE"/>
    <w:rsid w:val="00E52354"/>
    <w:rsid w:val="00E70C8A"/>
    <w:rsid w:val="00E93708"/>
    <w:rsid w:val="00EC7BAF"/>
    <w:rsid w:val="00ED77DB"/>
    <w:rsid w:val="00EF489B"/>
    <w:rsid w:val="00EF5BF8"/>
    <w:rsid w:val="00FF56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7D723"/>
  <w15:chartTrackingRefBased/>
  <w15:docId w15:val="{3A0FC1A1-E34B-4603-9931-A2950E736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Poppins"/>
        <w:sz w:val="22"/>
        <w:lang w:val="pl-PL" w:eastAsia="en-US" w:bidi="ar-SA"/>
      </w:rPr>
    </w:rPrDefault>
    <w:pPrDefault>
      <w:pPr>
        <w:spacing w:after="16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56B1"/>
  </w:style>
  <w:style w:type="paragraph" w:styleId="Nagwek1">
    <w:name w:val="heading 1"/>
    <w:basedOn w:val="Normalny"/>
    <w:next w:val="Normalny"/>
    <w:link w:val="Nagwek1Znak"/>
    <w:uiPriority w:val="9"/>
    <w:qFormat/>
    <w:rsid w:val="00ED77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D77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D77D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D77D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gwek5">
    <w:name w:val="heading 5"/>
    <w:basedOn w:val="Normalny"/>
    <w:next w:val="Normalny"/>
    <w:link w:val="Nagwek5Znak"/>
    <w:uiPriority w:val="9"/>
    <w:semiHidden/>
    <w:unhideWhenUsed/>
    <w:qFormat/>
    <w:rsid w:val="00ED77DB"/>
    <w:pPr>
      <w:keepNext/>
      <w:keepLines/>
      <w:spacing w:before="80" w:after="40"/>
      <w:outlineLvl w:val="4"/>
    </w:pPr>
    <w:rPr>
      <w:rFonts w:asciiTheme="minorHAnsi" w:eastAsiaTheme="majorEastAsia" w:hAnsiTheme="minorHAnsi" w:cstheme="majorBidi"/>
      <w:color w:val="0F4761" w:themeColor="accent1" w:themeShade="BF"/>
    </w:rPr>
  </w:style>
  <w:style w:type="paragraph" w:styleId="Nagwek6">
    <w:name w:val="heading 6"/>
    <w:basedOn w:val="Normalny"/>
    <w:next w:val="Normalny"/>
    <w:link w:val="Nagwek6Znak"/>
    <w:uiPriority w:val="9"/>
    <w:semiHidden/>
    <w:unhideWhenUsed/>
    <w:qFormat/>
    <w:rsid w:val="00ED77DB"/>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ED77DB"/>
    <w:pPr>
      <w:keepNext/>
      <w:keepLines/>
      <w:spacing w:before="40" w:after="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ED77DB"/>
    <w:pPr>
      <w:keepNext/>
      <w:keepLines/>
      <w:spacing w:after="0"/>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ED77DB"/>
    <w:pPr>
      <w:keepNext/>
      <w:keepLines/>
      <w:spacing w:after="0"/>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D77D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D77D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D77DB"/>
    <w:rPr>
      <w:rFonts w:asciiTheme="minorHAnsi" w:eastAsiaTheme="majorEastAsia" w:hAnsiTheme="minorHAnsi"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D77DB"/>
    <w:rPr>
      <w:rFonts w:asciiTheme="minorHAnsi" w:eastAsiaTheme="majorEastAsia" w:hAnsiTheme="minorHAnsi" w:cstheme="majorBidi"/>
      <w:i/>
      <w:iCs/>
      <w:color w:val="0F4761" w:themeColor="accent1" w:themeShade="BF"/>
    </w:rPr>
  </w:style>
  <w:style w:type="character" w:customStyle="1" w:styleId="Nagwek5Znak">
    <w:name w:val="Nagłówek 5 Znak"/>
    <w:basedOn w:val="Domylnaczcionkaakapitu"/>
    <w:link w:val="Nagwek5"/>
    <w:uiPriority w:val="9"/>
    <w:semiHidden/>
    <w:rsid w:val="00ED77DB"/>
    <w:rPr>
      <w:rFonts w:asciiTheme="minorHAnsi" w:eastAsiaTheme="majorEastAsia" w:hAnsiTheme="minorHAnsi" w:cstheme="majorBidi"/>
      <w:color w:val="0F4761" w:themeColor="accent1" w:themeShade="BF"/>
    </w:rPr>
  </w:style>
  <w:style w:type="character" w:customStyle="1" w:styleId="Nagwek6Znak">
    <w:name w:val="Nagłówek 6 Znak"/>
    <w:basedOn w:val="Domylnaczcionkaakapitu"/>
    <w:link w:val="Nagwek6"/>
    <w:uiPriority w:val="9"/>
    <w:semiHidden/>
    <w:rsid w:val="00ED77DB"/>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ED77DB"/>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ED77DB"/>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ED77DB"/>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ED77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D77D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D77D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D77DB"/>
    <w:rPr>
      <w:rFonts w:asciiTheme="minorHAnsi" w:eastAsiaTheme="majorEastAsia" w:hAnsiTheme="minorHAnsi" w:cstheme="majorBidi"/>
      <w:color w:val="595959" w:themeColor="text1" w:themeTint="A6"/>
      <w:spacing w:val="15"/>
      <w:sz w:val="28"/>
      <w:szCs w:val="28"/>
    </w:rPr>
  </w:style>
  <w:style w:type="paragraph" w:styleId="Cytat">
    <w:name w:val="Quote"/>
    <w:basedOn w:val="Normalny"/>
    <w:next w:val="Normalny"/>
    <w:link w:val="CytatZnak"/>
    <w:uiPriority w:val="29"/>
    <w:qFormat/>
    <w:rsid w:val="00ED77DB"/>
    <w:pPr>
      <w:spacing w:before="160"/>
      <w:jc w:val="center"/>
    </w:pPr>
    <w:rPr>
      <w:i/>
      <w:iCs/>
      <w:color w:val="404040" w:themeColor="text1" w:themeTint="BF"/>
    </w:rPr>
  </w:style>
  <w:style w:type="character" w:customStyle="1" w:styleId="CytatZnak">
    <w:name w:val="Cytat Znak"/>
    <w:basedOn w:val="Domylnaczcionkaakapitu"/>
    <w:link w:val="Cytat"/>
    <w:uiPriority w:val="29"/>
    <w:rsid w:val="00ED77DB"/>
    <w:rPr>
      <w:i/>
      <w:iCs/>
      <w:color w:val="404040" w:themeColor="text1" w:themeTint="BF"/>
    </w:rPr>
  </w:style>
  <w:style w:type="paragraph" w:styleId="Akapitzlist">
    <w:name w:val="List Paragraph"/>
    <w:basedOn w:val="Normalny"/>
    <w:uiPriority w:val="34"/>
    <w:qFormat/>
    <w:rsid w:val="00ED77DB"/>
    <w:pPr>
      <w:ind w:left="720"/>
      <w:contextualSpacing/>
    </w:pPr>
  </w:style>
  <w:style w:type="character" w:styleId="Wyrnienieintensywne">
    <w:name w:val="Intense Emphasis"/>
    <w:basedOn w:val="Domylnaczcionkaakapitu"/>
    <w:uiPriority w:val="21"/>
    <w:qFormat/>
    <w:rsid w:val="00ED77DB"/>
    <w:rPr>
      <w:i/>
      <w:iCs/>
      <w:color w:val="0F4761" w:themeColor="accent1" w:themeShade="BF"/>
    </w:rPr>
  </w:style>
  <w:style w:type="paragraph" w:styleId="Cytatintensywny">
    <w:name w:val="Intense Quote"/>
    <w:basedOn w:val="Normalny"/>
    <w:next w:val="Normalny"/>
    <w:link w:val="CytatintensywnyZnak"/>
    <w:uiPriority w:val="30"/>
    <w:qFormat/>
    <w:rsid w:val="00ED77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D77DB"/>
    <w:rPr>
      <w:i/>
      <w:iCs/>
      <w:color w:val="0F4761" w:themeColor="accent1" w:themeShade="BF"/>
    </w:rPr>
  </w:style>
  <w:style w:type="character" w:styleId="Odwoanieintensywne">
    <w:name w:val="Intense Reference"/>
    <w:basedOn w:val="Domylnaczcionkaakapitu"/>
    <w:uiPriority w:val="32"/>
    <w:qFormat/>
    <w:rsid w:val="00ED77DB"/>
    <w:rPr>
      <w:b/>
      <w:bCs/>
      <w:smallCaps/>
      <w:color w:val="0F4761" w:themeColor="accent1" w:themeShade="BF"/>
      <w:spacing w:val="5"/>
    </w:rPr>
  </w:style>
  <w:style w:type="table" w:styleId="Tabela-Siatka">
    <w:name w:val="Table Grid"/>
    <w:basedOn w:val="Standardowy"/>
    <w:uiPriority w:val="39"/>
    <w:rsid w:val="00ED7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33423"/>
    <w:rPr>
      <w:sz w:val="16"/>
      <w:szCs w:val="16"/>
    </w:rPr>
  </w:style>
  <w:style w:type="paragraph" w:styleId="Tekstkomentarza">
    <w:name w:val="annotation text"/>
    <w:basedOn w:val="Normalny"/>
    <w:link w:val="TekstkomentarzaZnak"/>
    <w:uiPriority w:val="99"/>
    <w:unhideWhenUsed/>
    <w:rsid w:val="00D33423"/>
    <w:pPr>
      <w:spacing w:line="240" w:lineRule="auto"/>
    </w:pPr>
    <w:rPr>
      <w:sz w:val="20"/>
    </w:rPr>
  </w:style>
  <w:style w:type="character" w:customStyle="1" w:styleId="TekstkomentarzaZnak">
    <w:name w:val="Tekst komentarza Znak"/>
    <w:basedOn w:val="Domylnaczcionkaakapitu"/>
    <w:link w:val="Tekstkomentarza"/>
    <w:uiPriority w:val="99"/>
    <w:rsid w:val="00D33423"/>
    <w:rPr>
      <w:sz w:val="20"/>
    </w:rPr>
  </w:style>
  <w:style w:type="paragraph" w:styleId="Tematkomentarza">
    <w:name w:val="annotation subject"/>
    <w:basedOn w:val="Tekstkomentarza"/>
    <w:next w:val="Tekstkomentarza"/>
    <w:link w:val="TematkomentarzaZnak"/>
    <w:uiPriority w:val="99"/>
    <w:semiHidden/>
    <w:unhideWhenUsed/>
    <w:rsid w:val="00D33423"/>
    <w:rPr>
      <w:b/>
      <w:bCs/>
    </w:rPr>
  </w:style>
  <w:style w:type="character" w:customStyle="1" w:styleId="TematkomentarzaZnak">
    <w:name w:val="Temat komentarza Znak"/>
    <w:basedOn w:val="TekstkomentarzaZnak"/>
    <w:link w:val="Tematkomentarza"/>
    <w:uiPriority w:val="99"/>
    <w:semiHidden/>
    <w:rsid w:val="00D33423"/>
    <w:rPr>
      <w:b/>
      <w:bCs/>
      <w:sz w:val="20"/>
    </w:rPr>
  </w:style>
  <w:style w:type="paragraph" w:styleId="Nagwek">
    <w:name w:val="header"/>
    <w:basedOn w:val="Normalny"/>
    <w:link w:val="NagwekZnak"/>
    <w:uiPriority w:val="99"/>
    <w:unhideWhenUsed/>
    <w:rsid w:val="00EC7B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BAF"/>
  </w:style>
  <w:style w:type="paragraph" w:styleId="Stopka">
    <w:name w:val="footer"/>
    <w:basedOn w:val="Normalny"/>
    <w:link w:val="StopkaZnak"/>
    <w:uiPriority w:val="99"/>
    <w:unhideWhenUsed/>
    <w:rsid w:val="00EC7B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BAF"/>
  </w:style>
  <w:style w:type="character" w:styleId="Hipercze">
    <w:name w:val="Hyperlink"/>
    <w:basedOn w:val="Domylnaczcionkaakapitu"/>
    <w:uiPriority w:val="99"/>
    <w:unhideWhenUsed/>
    <w:rsid w:val="005636B3"/>
    <w:rPr>
      <w:color w:val="467886" w:themeColor="hyperlink"/>
      <w:u w:val="single"/>
    </w:rPr>
  </w:style>
  <w:style w:type="character" w:styleId="Nierozpoznanawzmianka">
    <w:name w:val="Unresolved Mention"/>
    <w:basedOn w:val="Domylnaczcionkaakapitu"/>
    <w:uiPriority w:val="99"/>
    <w:semiHidden/>
    <w:unhideWhenUsed/>
    <w:rsid w:val="00563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odo@ttms.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2930</Characters>
  <Application>Microsoft Office Word</Application>
  <DocSecurity>4</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Wyrzykowski</dc:creator>
  <cp:keywords>, docId:9021AC3A9E7B62C150BE253BE7CAF9B0</cp:keywords>
  <dc:description/>
  <cp:lastModifiedBy>Barbara Pakuła</cp:lastModifiedBy>
  <cp:revision>2</cp:revision>
  <dcterms:created xsi:type="dcterms:W3CDTF">2024-09-25T10:54:00Z</dcterms:created>
  <dcterms:modified xsi:type="dcterms:W3CDTF">2024-09-25T10:54:00Z</dcterms:modified>
</cp:coreProperties>
</file>